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团购自提 错店到达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STORE07，SUP39，SKU157、SKU158。场景：团购自提 / 错店到达。本件为供货附件，用途是明确本次商业决定、证据与未授权边界。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模拟：团购备货按订单确认的门店与时段，客户聊天意向不直接排产。</w:t>
      </w:r>
    </w:p>
    <w:p>
      <w:pPr>
        <w:pStyle w:val="Heading1"/>
      </w:pPr>
      <w:r>
        <w:t>适用条件与处置</w:t>
      </w:r>
    </w:p>
    <w:p>
      <w:r>
        <w:t>模拟：当客户到同品牌另一店提货时，采购要求供方在回执中明确：核对改店批准，未批准不跨店扣减。未得到范围确认的行仍是待协商，不因门店已经着急用货就改成已履约。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原订单门店和改店结果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模拟：展示订单截图不能改变履约门店。真实厂商、行业和法律要求应另查可核实原始指引；这里没有生成相关阈值。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39为STORE07提供SKU157和SKU158；这只是本场景供货联系。本供货附件适用于这两个商品的团购自提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