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外卖包装 封签破开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STORE08，SUP40，SKU159、SKU160。场景：外卖包装 / 封签破开。本件为供货附件，用途是明确本次商业决定、证据与未授权边界。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模拟：争议结算补充：断签照片和复核重封记录应分别标记已取得与待补交。采购先核供方确认范围，再决定争议行是补交、撤销还是待协商；本附件不承诺赔偿金额。不能直接贴新封签掩盖原状态。。</w:t>
      </w:r>
    </w:p>
    <w:p>
      <w:pPr>
        <w:pStyle w:val="Heading1"/>
      </w:pPr>
      <w:r>
        <w:t>适用条件与处置</w:t>
      </w:r>
    </w:p>
    <w:p>
      <w:r>
        <w:t>模拟：当骑手取餐前发现封签已断时，采购要求供方在回执中明确：复核内容并按流程重封，记录原因。未得到范围确认的行仍是待协商，不因门店已经着急用货就改成已履约。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断签照片和复核重封记录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模拟：不能直接贴新封签掩盖原状态。真实厂商、行业和法律要求应另查可核实原始指引；这里没有生成相关阈值。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40为STORE08提供SKU159和SKU160；这只是本场景供货联系。本供货附件适用于这两个商品的外卖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