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退货未减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STORE03，SUP11，SKU101、SKU102。场景：发票对账 / 退货未减。本件为供货附件，用途是明确本次商业决定、证据与未授权边界。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模拟：对账按已验收、退货与补交分别核实，金额相等不证明行项正确。</w:t>
      </w:r>
    </w:p>
    <w:p>
      <w:pPr>
        <w:pStyle w:val="Heading1"/>
      </w:pPr>
      <w:r>
        <w:t>适用条件与处置</w:t>
      </w:r>
    </w:p>
    <w:p>
      <w:r>
        <w:t>模拟：当已确认退货仍包含在当期对账时，采购要求供方在回执中明确：核对供方确认后按约定冲减或下期处理。未得到范围确认的行仍是待协商，不因门店已经着急用货就改成已履约。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货签收与贷项说明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模拟：门店发出退货不等于供方已接收。真实厂商、行业和法律要求应另查可核实原始指引；这里没有生成相关阈值。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11为STORE03提供SKU101和SKU102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