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发票对账 补件重复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STORE01，SUP01，SKU161、SKU162。场景：发票对账 / 补件重复。本件为供货附件，用途是明确本次商业决定、证据与未授权边界。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模拟：对账按已验收、退货与补交分别核实，金额相等不证明行项正确。</w:t>
      </w:r>
    </w:p>
    <w:p>
      <w:pPr>
        <w:pStyle w:val="Heading1"/>
      </w:pPr>
      <w:r>
        <w:t>适用条件与处置</w:t>
      </w:r>
    </w:p>
    <w:p>
      <w:r>
        <w:t>模拟：当无偿补件被开成额外采购行时，采购要求供方在回执中明确：引用补件性质申请更正。未得到范围确认的行仍是待协商，不因门店已经着急用货就改成已履约。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原缺件单和补件确认，作为供方确认附件逐项回传。未取得必要批准或材料时保持待核，不直接执行放行、替换或退款。模拟盘点演练清单为24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模拟：有送货单不必然代表新增应付款。真实厂商、行业和法律要求应另查可核实原始指引；这里没有生成相关阈值。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01为STORE01提供SKU161和SKU162；这只是本场景供货联系。本供货附件适用于这两个商品的发票对账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