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发票对账 抬头错写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STORE07，SUP31，SKU221、SKU222。场景：发票对账 / 抬头错写。本件为供货附件，用途是明确本次商业决定、证据与未授权边界。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模拟：对账按已验收、退货与补交分别核实，金额相等不证明行项正确。</w:t>
      </w:r>
    </w:p>
    <w:p>
      <w:pPr>
        <w:pStyle w:val="Heading1"/>
      </w:pPr>
      <w:r>
        <w:t>适用条件与处置</w:t>
      </w:r>
    </w:p>
    <w:p>
      <w:r>
        <w:t>模拟：当货品数量正确但发票抬头为另一门店时，采购要求供方在回执中明确：要求更正发票身份，保留原票记录。未得到范围确认的行仍是待协商，不因门店已经着急用货就改成已履约。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订单主体和票面信息，作为供方确认附件逐项回传。未取得必要批准或材料时保持待核，不直接执行放行、替换或退款。模拟盘点演练清单为36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模拟：连锁同名不能掩盖独立结算主体差异。真实厂商、行业和法律要求应另查可核实原始指引；这里没有生成相关阈值。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31为STORE07提供SKU221和SKU222；这只是本场景供货联系。本供货附件适用于这两个商品的发票对账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