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平台先签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STORE08，SUP32，SKU223、SKU224。场景：承运交接 / 平台先签。本件为供货附件，用途是明确本次商业决定、证据与未授权边界。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模拟：承运责任转移以双方确认交接记录为准，平台到达状态只是线索。</w:t>
      </w:r>
    </w:p>
    <w:p>
      <w:pPr>
        <w:pStyle w:val="Heading1"/>
      </w:pPr>
      <w:r>
        <w:t>适用条件与处置</w:t>
      </w:r>
    </w:p>
    <w:p>
      <w:r>
        <w:t>模拟：当平台显示已签收但门店尚未接到实物时，采购要求供方在回执中明确：发起状态争议，实物验收前不入可售。未得到范围确认的行仍是待协商，不因门店已经着急用货就改成已履约。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平台事件时间与现场收货记录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模拟：电子状态不是实物完整性证明。真实厂商、行业和法律要求应另查可核实原始指引；这里没有生成相关阈值。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32为STORE08提供SKU223和SKU224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