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捐赠交接 所有权未清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STORE04，SUP04，SKU167、SKU168。场景：捐赠交接 / 所有权未清。本件为供货附件，用途是明确本次商业决定、证据与未授权边界。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模拟：捐赠接受条件以接收机构与适用指引确认，不编造安全期限。</w:t>
      </w:r>
    </w:p>
    <w:p>
      <w:pPr>
        <w:pStyle w:val="Heading1"/>
      </w:pPr>
      <w:r>
        <w:t>适用条件与处置</w:t>
      </w:r>
    </w:p>
    <w:p>
      <w:r>
        <w:t>模拟：当活动余货由供方寄售而非门店自有时，采购要求供方在回执中明确：先取得处置授权再申请捐赠。未得到范围确认的行仍是待协商，不因门店已经着急用货就改成已履约。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寄售协议与供方授权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模拟：货在店内不意味着门店有权捐出。真实厂商、行业和法律要求应另查可核实原始指引；这里没有生成相关阈值。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04为STORE04提供SKU167和SKU168；这只是本场景供货联系。本供货附件适用于这两个商品的捐赠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