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捐赠交接 运输延期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STORE08，SUP24，SKU287、SKU288。场景：捐赠交接 / 运输延期。本件为供货附件，用途是明确本次商业决定、证据与未授权边界。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模拟：捐赠接受条件以接收机构与适用指引确认，不编造安全期限。</w:t>
      </w:r>
    </w:p>
    <w:p>
      <w:pPr>
        <w:pStyle w:val="Heading1"/>
      </w:pPr>
      <w:r>
        <w:t>适用条件与处置</w:t>
      </w:r>
    </w:p>
    <w:p>
      <w:r>
        <w:t>模拟：当原交接安排延期且条件需重核时，采购要求供方在回执中明确：联系机构重新确认可接受性与安排。未得到范围确认的行仍是待协商，不因门店已经着急用货就改成已履约。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延期通知和更新确认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模拟：不把上一次接受意见当永久有效。真实厂商、行业和法律要求应另查可核实原始指引；这里没有生成相关阈值。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24为STORE08提供SKU287和SKU288；这只是本场景供货联系。本供货附件适用于这两个商品的捐赠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