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标签改版 门店加贴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STORE01，SUP25，SKU289、SKU290。场景：标签改版 / 门店加贴。本件为供货附件，用途是明确本次商业决定、证据与未授权边界。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模拟：供方改版须说明变更范围，门店不得自行补造行业信息。</w:t>
      </w:r>
    </w:p>
    <w:p>
      <w:pPr>
        <w:pStyle w:val="Heading1"/>
      </w:pPr>
      <w:r>
        <w:t>适用条件与处置</w:t>
      </w:r>
    </w:p>
    <w:p>
      <w:r>
        <w:t>模拟：当门店想用临时贴纸增加未验证功能时，采购要求供方在回执中明确：拒绝发布未有来源功能描述。未得到范围确认的行仍是待协商，不因门店已经着急用货就改成已履约。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临时稿与厂商确认状态，作为供方确认附件逐项回传。未取得必要批准或材料时保持待核，不直接执行放行、替换或退款。模拟盘点演练清单为30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模拟：销售人员经验不能充当商品功能证据。真实厂商、行业和法律要求应另查可核实原始指引；这里没有生成相关阈值。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25为STORE01提供SKU289和SKU290；这只是本场景供货联系。本供货附件适用于这两个商品的标签改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