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新品试销 样品混货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STORE08，SUP16，SKU111、SKU112。场景：新品试销 / 样品混货。本件为供货附件，用途是明确本次商业决定、证据与未授权边界。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模拟：试销订单独立记录回收与结算规则，不自动转为长期供货。</w:t>
      </w:r>
    </w:p>
    <w:p>
      <w:pPr>
        <w:pStyle w:val="Heading1"/>
      </w:pPr>
      <w:r>
        <w:t>适用条件与处置</w:t>
      </w:r>
    </w:p>
    <w:p>
      <w:r>
        <w:t>模拟：当样品外观与正式货相似且混入货架时，采购要求供方在回执中明确：隔离样品并核身份，纠正上架记录。未得到范围确认的行仍是待协商，不因门店已经着急用货就改成已履约。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样品领用与进货批次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模拟：带有条码不说明它是正式销售版本。真实厂商、行业和法律要求应另查可核实原始指引；这里没有生成相关阈值。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16为STORE08提供SKU111和SKU112；这只是本场景供货联系。本供货附件适用于这两个商品的新品试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