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新品试销 版本升级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STORE02，SUP26，SKU291、SKU292。场景：新品试销 / 版本升级。本件为供货附件，用途是明确本次商业决定、证据与未授权边界。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模拟：试销订单独立记录回收与结算规则，不自动转为长期供货。</w:t>
      </w:r>
    </w:p>
    <w:p>
      <w:pPr>
        <w:pStyle w:val="Heading1"/>
      </w:pPr>
      <w:r>
        <w:t>适用条件与处置</w:t>
      </w:r>
    </w:p>
    <w:p>
      <w:r>
        <w:t>模拟：当中途更换配方说明或包装版本时，采购要求供方在回执中明确：分开记录前后版本，旧反馈不直接合并。未得到范围确认的行仍是待协商，不因门店已经着急用货就改成已履约。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版本差异和分别试销记录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模拟：同一商品名不保证体验与用途一致。真实厂商、行业和法律要求应另查可核实原始指引；这里没有生成相关阈值。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26为STORE02提供SKU291和SKU292；这只是本场景供货联系。本供货附件适用于这两个商品的新品试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