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折扣未批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STORE01，SUP17，SKU113、SKU114。场景：寄售结算 / 折扣未批。本件为供货附件，用途是明确本次商业决定、证据与未授权边界。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模拟：寄售按售出、退回和盘存核对，收到货不等于买断。</w:t>
      </w:r>
    </w:p>
    <w:p>
      <w:pPr>
        <w:pStyle w:val="Heading1"/>
      </w:pPr>
      <w:r>
        <w:t>适用条件与处置</w:t>
      </w:r>
    </w:p>
    <w:p>
      <w:r>
        <w:t>模拟：当门店想用寄售品参与临时折扣时，采购要求供方在回执中明确：先取得供方分担授权再执行。未得到范围确认的行仍是待协商，不因门店已经着急用货就改成已履约。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寄售协议与活动审批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模拟：售价可在系统修改不代表有权改变结算。真实厂商、行业和法律要求应另查可核实原始指引；这里没有生成相关阈值。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17为STORE01提供SKU113和SKU114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