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寄售结算 结算跨期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STORE03，SUP27，SKU293、SKU294。场景：寄售结算 / 结算跨期。本件为供货附件，用途是明确本次商业决定、证据与未授权边界。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模拟：寄售按售出、退回和盘存核对，收到货不等于买断。</w:t>
      </w:r>
    </w:p>
    <w:p>
      <w:pPr>
        <w:pStyle w:val="Heading1"/>
      </w:pPr>
      <w:r>
        <w:t>适用条件与处置</w:t>
      </w:r>
    </w:p>
    <w:p>
      <w:r>
        <w:t>模拟：当上期销售本期才退款时，采购要求供方在回执中明确：关联原销售按协议调整，不直接抵本期任意行。未得到范围确认的行仍是待协商，不因门店已经着急用货就改成已履约。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原销售、退款与结算协议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模拟：净额相同不保证归属期间正确。真实厂商、行业和法律要求应另查可核实原始指引；这里没有生成相关阈值。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27为STORE03提供SKU293和SKU294；这只是本场景供货联系。本供货附件适用于这两个商品的寄售结算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