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跨店调拨 关系缺边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STORE04，SUP28，SKU295、SKU296。场景：跨店调拨 / 关系缺边。本件为供货附件，用途是明确本次商业决定、证据与未授权边界。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模拟：调拨不改变原供方条款，跨店适用需核各店批准。</w:t>
      </w:r>
    </w:p>
    <w:p>
      <w:pPr>
        <w:pStyle w:val="Heading1"/>
      </w:pPr>
      <w:r>
        <w:t>适用条件与处置</w:t>
      </w:r>
    </w:p>
    <w:p>
      <w:r>
        <w:t>模拟：当系统调拨图缺少末端接收记录时，采购要求供方在回执中明确：查实时业务凭证，不宣称无下游影响。未得到范围确认的行仍是待协商，不因门店已经着急用货就改成已履约。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调拨日志与接收记录缺口，作为供方确认附件逐项回传。未取得必要批准或材料时保持待核，不直接执行放行、替换或退款。模拟盘点演练清单为6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模拟：图不连通不能证明不存在实际调拨。真实厂商、行业和法律要求应另查可核实原始指引；这里没有生成相关阈值。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28为STORE04提供SKU295和SKU296；这只是本场景供货联系。本供货附件适用于这两个商品的跨店调拨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