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模拟 / SYNTHETIC — fictional K0 evaluation fixture</w:t>
      </w:r>
    </w:p>
    <w:p>
      <w:pPr>
        <w:pStyle w:val="Title"/>
      </w:pPr>
      <w:r>
        <w:t>部分到货处理</w:t>
      </w:r>
    </w:p>
    <w:p>
      <w:r>
        <w:t>E-STORE | K0-O02-v1</w:t>
      </w:r>
    </w:p>
    <w:p>
      <w:pPr>
        <w:pStyle w:val="Heading1"/>
      </w:pPr>
      <w:r>
        <w:t>[section:1] 实收登记 / Receipt</w:t>
      </w:r>
    </w:p>
    <w:p>
      <w:r>
        <w:t>只录实际到货，缺少部分保持待交；不补造收货流水。Record delivered quantities and leave missing units outstanding.</w:t>
      </w:r>
    </w:p>
    <w:p>
      <w:pPr>
        <w:pStyle w:val="Heading1"/>
      </w:pPr>
      <w:r>
        <w:t>[section:2] 证据 / Evidence</w:t>
      </w:r>
    </w:p>
    <w:p>
      <w:r>
        <w:t>收货员拍整箱、箱签与差异单，保留司机签字；店长联系供应商确认补发日期。Photograph cartons, labels and the discrepancy form; obtain driver sign-off.</w:t>
      </w:r>
    </w:p>
    <w:p>
      <w:pPr>
        <w:pStyle w:val="Heading1"/>
      </w:pPr>
      <w:r>
        <w:t>[section:3] 授权 / Authorization</w:t>
      </w:r>
    </w:p>
    <w:p>
      <w:r>
        <w:t>不得按文档建议自动取消余额、改价或付款；这些动作走原业务审批。Cancellation, repricing and payment require the existing business approval flow.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定位 / Locator</w:t>
            </w:r>
          </w:p>
        </w:tc>
        <w:tc>
          <w:tcPr>
            <w:tcW w:type="dxa" w:w="4320"/>
          </w:tcPr>
          <w:p>
            <w:r>
              <w:t>操作核对 / Operational check</w:t>
            </w:r>
          </w:p>
        </w:tc>
      </w:tr>
      <w:tr>
        <w:tc>
          <w:tcPr>
            <w:tcW w:type="dxa" w:w="4320"/>
          </w:tcPr>
          <w:p>
            <w:r>
              <w:t>section:1 实收登记 / Receipt</w:t>
            </w:r>
          </w:p>
        </w:tc>
        <w:tc>
          <w:tcPr>
            <w:tcW w:type="dxa" w:w="4320"/>
          </w:tcPr>
          <w:p>
            <w:r>
              <w:t>只录实际到货，缺少部分保持待交；不补造收货流水。Record delivered quantities and leave missing units outstanding.</w:t>
            </w:r>
          </w:p>
        </w:tc>
      </w:tr>
      <w:tr>
        <w:tc>
          <w:tcPr>
            <w:tcW w:type="dxa" w:w="4320"/>
          </w:tcPr>
          <w:p>
            <w:r>
              <w:t>section:2 证据 / Evidence</w:t>
            </w:r>
          </w:p>
        </w:tc>
        <w:tc>
          <w:tcPr>
            <w:tcW w:type="dxa" w:w="4320"/>
          </w:tcPr>
          <w:p>
            <w:r>
              <w:t>收货员拍整箱、箱签与差异单，保留司机签字；店长联系供应商确认补发日期。Photograph cartons, labels and the discrepancy form; obtain driver sign-off.</w:t>
            </w:r>
          </w:p>
        </w:tc>
      </w:tr>
      <w:tr>
        <w:tc>
          <w:tcPr>
            <w:tcW w:type="dxa" w:w="4320"/>
          </w:tcPr>
          <w:p>
            <w:r>
              <w:t>section:3 授权 / Authorization</w:t>
            </w:r>
          </w:p>
        </w:tc>
        <w:tc>
          <w:tcPr>
            <w:tcW w:type="dxa" w:w="4320"/>
          </w:tcPr>
          <w:p>
            <w:r>
              <w:t>不得按文档建议自动取消余额、改价或付款；这些动作走原业务审批。Cancellation, repricing and payment require the existing business approval flow.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fictional K0 fixtures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