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开店缺货 在途迟到 活动执行要求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STORE03，SUP35，SKU149、SKU150。场景：开店缺货 / 在途迟到。本件为活动执行要求，用途是明确本次商业决定、证据与未授权边界。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模拟：活动页面须同步实际可履约状态，补货预计不可当到货。</w:t>
      </w:r>
    </w:p>
    <w:p>
      <w:pPr>
        <w:pStyle w:val="Heading1"/>
      </w:pPr>
      <w:r>
        <w:t>适用条件与处置</w:t>
      </w:r>
    </w:p>
    <w:p>
      <w:r>
        <w:t>模拟：当早班补货车延误且活动即将开始时，活动负责人遇到在途迟到时采用：限售或下架未到部分，告知真实预计。已作出的用户承诺另核原版本，未核实部分暂停新增宣传，恢复前要更新并复核对客说明。</w:t>
      </w:r>
    </w:p>
    <w:p>
      <w:pPr>
        <w:pStyle w:val="Heading1"/>
      </w:pPr>
      <w:r>
        <w:t>所需材料与数量口径</w:t>
      </w:r>
    </w:p>
    <w:p>
      <w:r>
        <w:t>模拟：需要承运延误通知和活动库存，在恢复宣传前由活动负责人核对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模拟：不能将预计到达时间说成保证交付。真实厂商、行业和法律要求应另查可核实原始指引；这里没有生成相关阈值。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35为STORE03提供SKU149和SKU150；这只是本场景供货联系。本活动执行要求适用于这两个商品的开店缺货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