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残套充数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STORE01，SUP25，SKU209、SKU210。场景：开店缺货 / 残套充数。本件为活动执行要求，用途是明确本次商业决定、证据与未授权边界。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模拟：活动页面须同步实际可履约状态，补货预计不可当到货。</w:t>
      </w:r>
    </w:p>
    <w:p>
      <w:pPr>
        <w:pStyle w:val="Heading1"/>
      </w:pPr>
      <w:r>
        <w:t>适用条件与处置</w:t>
      </w:r>
    </w:p>
    <w:p>
      <w:r>
        <w:t>模拟：当只有缺配件套装而完整商品为零时，活动负责人遇到残套充数时采用：保持完整套装缺货，申请补件或另卖已批准单件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待配清单与拆售批准，在恢复宣传前由活动负责人核对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模拟：不能隐去缺件把残套当完整商品。真实厂商、行业和法律要求应另查可核实原始指引；这里没有生成相关阈值。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25为STORE01提供SKU209和SKU210；这只是本场景供货联系。本活动执行要求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