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印字偏位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STORE02，SUP18，SKU195、SKU196。场景：封膜适配 / 印字偏位。本件为商品与包装说明，用途是明确本次商业决定、证据与未授权边界。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模拟：膜宽匹配只说明可装机，热封参数依厂商确认不在模拟中编造。</w:t>
      </w:r>
    </w:p>
    <w:p>
      <w:pPr>
        <w:pStyle w:val="Heading1"/>
      </w:pPr>
      <w:r>
        <w:t>适用条件与处置</w:t>
      </w:r>
    </w:p>
    <w:p>
      <w:r>
        <w:t>模拟：当封合外观正常但印字遮挡商品信息时，使用者面对印字偏位时，须将商品用途限定为已核实范围：撤出活动用途，核查允许的非活动去向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印字样张和活动版式要求，作为型号与适用范围的核对依据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模拟：不能把信息遮挡当纯审美问题忽略。真实厂商、行业和法律要求应另查可核实原始指引；这里没有生成相关阈值。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18为STORE02提供SKU195和SKU196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