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交班盘点 交接漏签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STORE08，SUP24，SKU207、SKU208。场景：交班盘点 / 交接漏签。本件为商品与包装说明，用途是明确本次商业决定、证据与未授权边界。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模拟：整箱、拆零与待配件分开标单位，不把箱与件相加。</w:t>
      </w:r>
    </w:p>
    <w:p>
      <w:pPr>
        <w:pStyle w:val="Heading1"/>
      </w:pPr>
      <w:r>
        <w:t>适用条件与处置</w:t>
      </w:r>
    </w:p>
    <w:p>
      <w:r>
        <w:t>模拟：当早班已点数但晚班未确认时，使用者面对交接漏签时，须将商品用途限定为已核实范围：保留单方记录并约复核，不伪造双签。本说明的判断仅针对列出的商品组合，不向相似外观或相邻批次外推。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早班盘点表和未签原因，作为型号与适用范围的核对依据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模拟：晚班开始营业不代表接受所有差异。真实厂商、行业和法律要求应另查可核实原始指引；这里没有生成相关阈值。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24为STORE08提供SKU207和SKU208；这只是本场景供货联系。本商品与包装说明适用于这两个商品的交班盘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