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交班盘点 差异回填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STORE06，SUP14，SKU267、SKU268。场景：交班盘点 / 差异回填。本件为商品与包装说明，用途是明确本次商业决定、证据与未授权边界。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模拟：整箱、拆零与待配件分开标单位，不把箱与件相加。</w:t>
      </w:r>
    </w:p>
    <w:p>
      <w:pPr>
        <w:pStyle w:val="Heading1"/>
      </w:pPr>
      <w:r>
        <w:t>适用条件与处置</w:t>
      </w:r>
    </w:p>
    <w:p>
      <w:r>
        <w:t>模拟：当门店想用库存调整直接消除短少时，使用者面对差异回填时，须将商品用途限定为已核实范围：先记录差异原因及审批，调整需可追溯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差异报告和调整审批，作为型号与适用范围的核对依据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模拟：账面归零不证明实物问题解决。真实厂商、行业和法律要求应另查可核实原始指引；这里没有生成相关阈值。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14为STORE06提供SKU267和SKU268；这只是本场景供货联系。本商品与包装说明适用于这两个商品的交班盘点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