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召回通知 批次清晰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STORE07，SUP23，SKU045、SKU046。场景：召回通知 / 批次清晰。本件为商品与包装说明，用途是明确本次商业决定、证据与未授权边界。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模拟：目标批次标签是范围证据，系列提及与明确批次适用分开 模拟修订已生效：修订后范围变更须保留前后版本及依据，不能删除旧通知当作从未生效。。</w:t>
      </w:r>
    </w:p>
    <w:p>
      <w:pPr>
        <w:pStyle w:val="Heading1"/>
      </w:pPr>
      <w:r>
        <w:t>适用条件与处置</w:t>
      </w:r>
    </w:p>
    <w:p>
      <w:r>
        <w:t>模拟：当正式通知列出本店现存目标批次时，使用者面对批次清晰时，须将商品用途限定为已核实范围：按目标批次隔离并登记处置。本说明的判断仅针对列出的商品组合，不向相似外观或相邻批次外推。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供方通知与本店批次清单，作为型号与适用范围的核对依据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模拟：不把同品牌全部商品自动列为目标。真实厂商、行业和法律要求应另查可核实原始指引；这里没有生成相关阈值。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23为STORE07提供SKU045和SKU046；这只是本场景供货联系。本商品与包装说明适用于这两个商品的召回通知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模拟版本2。本修订替代SYN-F23-B1-product-1-v1的角色条款；新增要求为：修订后范围变更须保留前后版本及依据，不能删除旧通知当作从未生效。历史日期仍按旧版判断。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