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召回通知 跨店转货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STORE01，SUP33，SKU225、SKU226。场景：召回通知 / 跨店转货。本件为商品与包装说明，用途是明确本次商业决定、证据与未授权边界。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模拟：目标批次标签是范围证据，系列提及与明确批次适用分开。</w:t>
      </w:r>
    </w:p>
    <w:p>
      <w:pPr>
        <w:pStyle w:val="Heading1"/>
      </w:pPr>
      <w:r>
        <w:t>适用条件与处置</w:t>
      </w:r>
    </w:p>
    <w:p>
      <w:r>
        <w:t>模拟：当目标批次已转给另一门店时，使用者面对跨店转货时，须将商品用途限定为已核实范围：沿真实调拨记录通知接收方并追踪。本说明的判断仅针对列出的商品组合，不向相似外观或相邻批次外推。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调拨凭证与目标批次表，作为型号与适用范围的核对依据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模拟：图中无边不证明其他门店未接收。真实厂商、行业和法律要求应另查可核实原始指引；这里没有生成相关阈值。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33为STORE01提供SKU225和SKU226；这只是本场景供货联系。本商品与包装说明适用于这两个商品的召回通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