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预售配额 退款释放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STORE03，SUP19，SKU117、SKU118。场景：预售配额 / 退款释放。本件为商品与包装说明，用途是明确本次商业决定、证据与未授权边界。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模拟：预售规格变更需明确顾客原承诺，近似规格不直接替代。</w:t>
      </w:r>
    </w:p>
    <w:p>
      <w:pPr>
        <w:pStyle w:val="Heading1"/>
      </w:pPr>
      <w:r>
        <w:t>适用条件与处置</w:t>
      </w:r>
    </w:p>
    <w:p>
      <w:r>
        <w:t>模拟：当顾客退款已申请但尚未完成时，使用者面对退款释放时，须将商品用途限定为已核实范围：等待规定状态再释放配额。本说明的判断仅针对列出的商品组合，不向相似外观或相邻批次外推。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退款状态与释放条件，作为型号与适用范围的核对依据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模拟：提交申请不等于退款完成。真实厂商、行业和法律要求应另查可核实原始指引；这里没有生成相关阈值。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19为STORE03提供SKU117和SKU118；这只是本场景供货联系。本商品与包装说明适用于这两个商品的预售配额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