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分批配送 尾批短装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STORE01，SUP33，SKU065、SKU066。场景：分批配送 / 尾批短装。本件为供货附件，用途是明确本次商业决定、证据与未授权边界。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模拟：每批次单独签收并保留未交清单，尾款按已签数量核对 模拟修订已生效：修订后末批也必须出具差异清单，空白签收不再代表全交。。</w:t>
      </w:r>
    </w:p>
    <w:p>
      <w:pPr>
        <w:pStyle w:val="Heading1"/>
      </w:pPr>
      <w:r>
        <w:t>适用条件与处置</w:t>
      </w:r>
    </w:p>
    <w:p>
      <w:r>
        <w:t>模拟：当首批正确而尾批实际少装时，采购要求供方在回执中明确：保留未交余额并申请补发。未得到范围确认的行仍是待协商，不因门店已经着急用货就改成已履约。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尾批开箱录像和箱内装箱单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模拟：司机收回空箱不代表供方已认可短装。真实厂商、行业和法律要求应另查可核实原始指引；这里没有生成相关阈值。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33为STORE01提供SKU065和SKU066；这只是本场景供货联系。本供货附件适用于这两个商品的分批配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模拟版本2。本修订替代SYN-F03-B2-supplier-1-v1的角色条款；新增要求为：修订后末批也必须出具差异清单，空白签收不再代表全交。历史日期仍按旧版判断。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