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分仓供货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STORE05，SUP13，SKU185、SKU186。场景：分批配送 / 分仓供货。本件为供货附件，用途是明确本次商业决定、证据与未授权边界。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模拟：每批次单独签收并保留未交清单，尾款按已签数量核对。</w:t>
      </w:r>
    </w:p>
    <w:p>
      <w:pPr>
        <w:pStyle w:val="Heading1"/>
      </w:pPr>
      <w:r>
        <w:t>适用条件与处置</w:t>
      </w:r>
    </w:p>
    <w:p>
      <w:r>
        <w:t>模拟：当两仓各发一批且外箱编号重叠时，采购要求供方在回执中明确：以仓库加批号联合识别，避免重复冲销。未得到范围确认的行仍是待协商，不因门店已经着急用货就改成已履约。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分仓发货表和两份装箱清单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模拟：仅箱号相同不足以认定重复到货。真实厂商、行业和法律要求应另查可核实原始指引；这里没有生成相关阈值。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13为STORE05提供SKU185和SKU186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