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混箱渗漏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STORE06，SUP14，SKU187、SKU188。场景：破损举证 / 混箱渗漏。本件为供货附件，用途是明确本次商业决定、证据与未授权边界。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模拟：破损争议先保留证据，赔付需供方确认责任与范围。</w:t>
      </w:r>
    </w:p>
    <w:p>
      <w:pPr>
        <w:pStyle w:val="Heading1"/>
      </w:pPr>
      <w:r>
        <w:t>适用条件与处置</w:t>
      </w:r>
    </w:p>
    <w:p>
      <w:r>
        <w:t>模拟：当混装箱内一件泄漏并影响邻近包装时，采购要求供方在回执中明确：分隔争议件与未受影响件，逐件列损。未得到范围确认的行仍是待协商，不因门店已经着急用货就改成已履约。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箱内分布图和逐件损伤清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模拟：不以其中一件泄漏推断整批同样损坏。真实厂商、行业和法律要求应另查可核实原始指引；这里没有生成相关阈值。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14为STORE06提供SKU187和SKU188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