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破损举证 退件丢失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STORE04，SUP04，SKU247、SKU248。场景：破损举证 / 退件丢失。本件为供货附件，用途是明确本次商业决定、证据与未授权边界。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模拟：破损争议先保留证据，赔付需供方确认责任与范围。</w:t>
      </w:r>
    </w:p>
    <w:p>
      <w:pPr>
        <w:pStyle w:val="Heading1"/>
      </w:pPr>
      <w:r>
        <w:t>适用条件与处置</w:t>
      </w:r>
    </w:p>
    <w:p>
      <w:r>
        <w:t>模拟：当门店有照片但实物被清洁人员误丢时，采购要求供方在回执中明确：保留现有证据并披露实物缺失。未得到范围确认的行仍是待协商，不因门店已经着急用货就改成已履约。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清洁交班记录和原始照片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模拟：不得补拍另一批货物冒充争议实物。真实厂商、行业和法律要求应另查可核实原始指引；这里没有生成相关阈值。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04为STORE04提供SKU247和SKU248；这只是本场景供货联系。本供货附件适用于这两个商品的破损举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