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缺件补交 说明卡缺失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STORE03，SUP35，SKU069、SKU070。场景：缺件补交 / 说明卡缺失。本件为供货附件，用途是明确本次商业决定、证据与未授权边界。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授权版说明文件及供方补卡回执应分别标记已取得与待补交。采购先核供方确认范围，再决定争议行是补交、撤销还是待协商；本附件不承诺赔偿金额。网页截图未确认版本时不视为正式替代。。</w:t>
      </w:r>
    </w:p>
    <w:p>
      <w:pPr>
        <w:pStyle w:val="Heading1"/>
      </w:pPr>
      <w:r>
        <w:t>适用条件与处置</w:t>
      </w:r>
    </w:p>
    <w:p>
      <w:r>
        <w:t>模拟：当商品附件齐全而门店说明卡漏装时，采购要求供方在回执中明确：申请电子说明确认可用性后补印。未得到范围确认的行仍是待协商，不因门店已经着急用货就改成已履约。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授权版说明文件及供方补卡回执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模拟：网页截图未确认版本时不视为正式替代。真实厂商、行业和法律要求应另查可核实原始指引；这里没有生成相关阈值。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35为STORE03提供SKU069和SKU070；这只是本场景供货联系。本供货附件适用于这两个商品的缺件补交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