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缺件补交 备用件不足 供货附件 识别交接补充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STORE01，SUP25，SKU129、SKU130。场景：缺件补交 / 备用件不足。本件为供货附件，用途是明确本次商业决定、证据与未授权边界。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争议结算补充：赠送约定及备件盘点表应分别标记已取得与待补交。采购先核供方确认范围，再决定争议行是补交、撤销还是待协商；本附件不承诺赔偿金额。宣传承诺含备用扣的活动套装仍需告知缺项。。</w:t>
      </w:r>
    </w:p>
    <w:p>
      <w:pPr>
        <w:pStyle w:val="Heading1"/>
      </w:pPr>
      <w:r>
        <w:t>适用条件与处置</w:t>
      </w:r>
    </w:p>
    <w:p>
      <w:r>
        <w:t>模拟：当必需部件齐但赠送备用扣少装时，采购要求供方在回执中明确：正常件可按完整商品验收，备用扣另追踪。未得到范围确认的行仍是待协商，不因门店已经着急用货就改成已履约。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赠送约定及备件盘点表，作为供方确认附件逐项回传。未取得必要批准或材料时保持待核，不直接执行放行、替换或退款。模拟盘点演练清单为12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模拟：宣传承诺含备用扣的活动套装仍需告知缺项。真实厂商、行业和法律要求应另查可核实原始指引；这里没有生成相关阈值。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25为STORE01提供SKU129和SKU130；这只是本场景供货联系。本供货附件适用于这两个商品的缺件补交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