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缺件补交 左右件错配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STORE07，SUP15，SKU189、SKU190。场景：缺件补交 / 左右件错配。本件为供货附件，用途是明确本次商业决定、证据与未授权边界。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模拟：争议结算补充：部件方向照片和型号标签应分别标记已取得与待补交。采购先核供方确认范围，再决定争议行是补交、撤销还是待协商；本附件不承诺赔偿金额。不得强行装配后声称功能已验证。。</w:t>
      </w:r>
    </w:p>
    <w:p>
      <w:pPr>
        <w:pStyle w:val="Heading1"/>
      </w:pPr>
      <w:r>
        <w:t>适用条件与处置</w:t>
      </w:r>
    </w:p>
    <w:p>
      <w:r>
        <w:t>模拟：当组件数量正确但两个均为左侧件时，采购要求供方在回执中明确：冻结错配套装并更换右侧组件。未得到范围确认的行仍是待协商，不因门店已经着急用货就改成已履约。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部件方向照片和型号标签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模拟：不得强行装配后声称功能已验证。真实厂商、行业和法律要求应另查可核实原始指引；这里没有生成相关阈值。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15为STORE07提供SKU189和SKU190；这只是本场景供货联系。本供货附件适用于这两个商品的缺件补交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