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起订组合 退换抵扣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STORE08，SUP16，SKU191、SKU192。场景：起订组合 / 退换抵扣。本件为供货附件，用途是明确本次商业决定、证据与未授权边界。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模拟：起订条件按批准组合核算，不将赠品或退换件计入订货量。</w:t>
      </w:r>
    </w:p>
    <w:p>
      <w:pPr>
        <w:pStyle w:val="Heading1"/>
      </w:pPr>
      <w:r>
        <w:t>适用条件与处置</w:t>
      </w:r>
    </w:p>
    <w:p>
      <w:r>
        <w:t>模拟：当门店要求把待退货算作新采购量时，采购要求供方在回执中明确：退换单单独处理，新单重新核起订。未得到范围确认的行仍是待协商，不因门店已经着急用货就改成已履约。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退换申请和新订单参与行，作为供方确认附件逐项回传。未取得必要批准或材料时保持待核，不直接执行放行、替换或退款。模拟盘点演练清单为30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模拟：财务可抵扣款项不等于物流可合并数量。真实厂商、行业和法律要求应另查可核实原始指引；这里没有生成相关阈值。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16为STORE08提供SKU191和SKU192；这只是本场景供货联系。本供货附件适用于这两个商品的起订组合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