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杯盖兼容 锁扣不同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STORE07，SUP07，SKU013、SKU014。场景：杯盖兼容 / 锁扣不同。本件为供货附件，用途是明确本次商业决定、证据与未授权边界。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模拟：供方替盖需提供接口适配确认，不以同口径营销名称替代型号 模拟修订已生效：修订后兼容确认必须列出杯身与盖的双方版本，系列名称不再足够。。</w:t>
      </w:r>
    </w:p>
    <w:p>
      <w:pPr>
        <w:pStyle w:val="Heading1"/>
      </w:pPr>
      <w:r>
        <w:t>适用条件与处置</w:t>
      </w:r>
    </w:p>
    <w:p>
      <w:r>
        <w:t>模拟：当两盖外径一致但锁扣位置不同时，采购要求供方在回执中明确：拒绝直接替换，向供方索取专用盖。未得到范围确认的行仍是待协商，不因门店已经着急用货就改成已履约。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锁扣近照及双方型号对照，作为供方确认附件逐项回传。未取得必要批准或材料时保持待核，不直接执行放行、替换或退款。模拟盘点演练清单为42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模拟：不能通过强压扣合证明长期适配。真实厂商、行业和法律要求应另查可核实原始指引；这里没有生成相关阈值。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07为STORE07提供SKU013和SKU014；这只是本场景供货联系。本供货附件适用于这两个商品的杯盖兼容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模拟版本2。本修订替代SYN-F07-B1-supplier-1-v1的角色条款；新增要求为：修订后兼容确认必须列出杯身与盖的双方版本，系列名称不再足够。历史日期仍按旧版判断。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