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条码迁移 新旧并存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STORE01，SUP09，SKU017、SKU018。场景：条码迁移 / 新旧并存。本件为供货附件，用途是明确本次商业决定、证据与未授权边界。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模拟：改码供货必须附新旧码映射与生效批次。</w:t>
      </w:r>
    </w:p>
    <w:p>
      <w:pPr>
        <w:pStyle w:val="Heading1"/>
      </w:pPr>
      <w:r>
        <w:t>适用条件与处置</w:t>
      </w:r>
    </w:p>
    <w:p>
      <w:r>
        <w:t>模拟：当同货同时存在旧码与新码库存时，采购要求供方在回执中明确：保留双码映射且按批次追踪。未得到范围确认的行仍是待协商，不因门店已经着急用货就改成已履约。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生效批次表和双码测试记录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模拟：不得用批量覆盖删除尚有库存的旧码。真实厂商、行业和法律要求应另查可核实原始指引；这里没有生成相关阈值。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09为STORE01提供SKU017和SKU018；这只是本场景供货联系。本供货附件适用于这两个商品的条码迁移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