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单件有价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STORE02，SUP10，SKU019、SKU020。场景：套装拆售 / 单件有价。本件为供货附件，用途是明确本次商业决定、证据与未授权边界。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模拟：拆售需采购确认价格与补货口径，不能从套装价随意摊派。</w:t>
      </w:r>
    </w:p>
    <w:p>
      <w:pPr>
        <w:pStyle w:val="Heading1"/>
      </w:pPr>
      <w:r>
        <w:t>适用条件与处置</w:t>
      </w:r>
    </w:p>
    <w:p>
      <w:r>
        <w:t>模拟：当供方已有独立子件报价且门店获准拆售时，采购要求供方在回执中明确：按授权子件SKU出售并注销对应套装量。未得到范围确认的行仍是待协商，不因门店已经着急用货就改成已履约。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价附件和拆分记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模拟：不能保留同一套装继续作为可售库存。真实厂商、行业和法律要求应另查可核实原始指引；这里没有生成相关阈值。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019和SKU020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