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子件无标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STORE08，SUP40，SKU079、SKU080。场景：套装拆售 / 子件无标。本件为供货附件，用途是明确本次商业决定、证据与未授权边界。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模拟：拆售需采购确认价格与补货口径，不能从套装价随意摊派。</w:t>
      </w:r>
    </w:p>
    <w:p>
      <w:pPr>
        <w:pStyle w:val="Heading1"/>
      </w:pPr>
      <w:r>
        <w:t>适用条件与处置</w:t>
      </w:r>
    </w:p>
    <w:p>
      <w:r>
        <w:t>模拟：当内部配件无单独说明或销售标签时，采购要求供方在回执中明确：暂不对客拆售，申请正式子件资料。未得到范围确认的行仍是待协商，不因门店已经着急用货就改成已履约。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套装部件说明和缺标记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模拟：内部备件领用不等于零售许可。真实厂商、行业和法律要求应另查可核实原始指引；这里没有生成相关阈值。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40为STORE08提供SKU079和SKU080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