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套装拆售 赠件拆卖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STORE04，SUP20，SKU199、SKU200。场景：套装拆售 / 赠件拆卖。本件为供货附件，用途是明确本次商业决定、证据与未授权边界。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模拟：拆售需采购确认价格与补货口径，不能从套装价随意摊派。</w:t>
      </w:r>
    </w:p>
    <w:p>
      <w:pPr>
        <w:pStyle w:val="Heading1"/>
      </w:pPr>
      <w:r>
        <w:t>适用条件与处置</w:t>
      </w:r>
    </w:p>
    <w:p>
      <w:r>
        <w:t>模拟：当活动赠件与正价子件外观一致时，采购要求供方在回执中明确：保留赠品用途，独立售卖需重新授权。未得到范围确认的行仍是待协商，不因门店已经着急用货就改成已履约。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活动物料领用单和赠品标识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模拟：有单品条码不自动产生售卖授权。真实厂商、行业和法律要求应另查可核实原始指引；这里没有生成相关阈值。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20为STORE04提供SKU199和SKU200；这只是本场景供货联系。本供货附件适用于这两个商品的套装拆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