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替代采购 门店越界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STORE03，SUP11，SKU261、SKU262。场景：替代采购 / 门店越界。本件为供货附件，用途是明确本次商业决定、证据与未授权边界。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模拟：替代建议只有候选地位，采购批准与商品适用确认缺一不可。</w:t>
      </w:r>
    </w:p>
    <w:p>
      <w:pPr>
        <w:pStyle w:val="Heading1"/>
      </w:pPr>
      <w:r>
        <w:t>适用条件与处置</w:t>
      </w:r>
    </w:p>
    <w:p>
      <w:r>
        <w:t>模拟：当西店替代批准被东店请求复用时，采购要求供方在回执中明确：东店独立核对用途并重新申请。未得到范围确认的行仍是待协商，不因门店已经着急用货就改成已履约。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批准适用门店与东店申请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模拟：同一连锁品牌不共享未经声明的权限。真实厂商、行业和法律要求应另查可核实原始指引；这里没有生成相关阈值。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11为STORE03提供SKU261和SKU262；这只是本场景供货联系。本供货附件适用于这两个商品的替代采购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