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返仓包装 原箱缺失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STORE04，SUP12，SKU023、SKU024。场景：返仓包装 / 原箱缺失。本件为供货附件，用途是明确本次商业决定、证据与未授权边界。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模拟：返仓接受以退货授权指定包装为准，不能拿采购包装图当退货约定。</w:t>
      </w:r>
    </w:p>
    <w:p>
      <w:pPr>
        <w:pStyle w:val="Heading1"/>
      </w:pPr>
      <w:r>
        <w:t>适用条件与处置</w:t>
      </w:r>
    </w:p>
    <w:p>
      <w:r>
        <w:t>模拟：当退货已获批但原箱被压扁回收时，采购要求供方在回执中明确：先询问替代包装许可，未确认不发运。未得到范围确认的行仍是待协商，不因门店已经着急用货就改成已履约。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货授权与包装缺失说明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模拟：自购箱足够结实不等于仓库接受。真实厂商、行业和法律要求应另查可核实原始指引；这里没有生成相关阈值。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12为STORE04提供SKU023和SKU024；这只是本场景供货联系。本供货附件适用于这两个商品的返仓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