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返仓包装 标签覆盖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STORE08，SUP32，SKU143、SKU144。场景：返仓包装 / 标签覆盖。本件为供货附件，用途是明确本次商业决定、证据与未授权边界。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模拟：返仓接受以退货授权指定包装为准，不能拿采购包装图当退货约定。</w:t>
      </w:r>
    </w:p>
    <w:p>
      <w:pPr>
        <w:pStyle w:val="Heading1"/>
      </w:pPr>
      <w:r>
        <w:t>适用条件与处置</w:t>
      </w:r>
    </w:p>
    <w:p>
      <w:r>
        <w:t>模拟：当门店胶带遮住原追溯标签时，采购要求供方在回执中明确：调整封箱位置并保留可读标签。未得到范围确认的行仍是待协商，不因门店已经着急用货就改成已履约。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封箱前后标签照片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模拟：手抄编号不自动替代原始标签。真实厂商、行业和法律要求应另查可核实原始指引；这里没有生成相关阈值。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32为STORE08提供SKU143和SKU144；这只是本场景供货联系。本供货附件适用于这两个商品的返仓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