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设备报修 指示灯异常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STORE05，SUP13，SKU025、SKU026。场景：设备报修 / 指示灯异常。本件为供货附件，用途是明确本次商业决定、证据与未授权边界。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模拟：维保范围按设备序列与合同确认，门店不得将口头诊断写成维修结论。</w:t>
      </w:r>
    </w:p>
    <w:p>
      <w:pPr>
        <w:pStyle w:val="Heading1"/>
      </w:pPr>
      <w:r>
        <w:t>适用条件与处置</w:t>
      </w:r>
    </w:p>
    <w:p>
      <w:r>
        <w:t>模拟：当机器显示报警但没有厂商解释时，采购要求供方在回执中明确：停止相关使用并报修，不猜测具体故障。未得到范围确认的行仍是待协商，不因门店已经着急用货就改成已履约。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报警照片和设备序列号，作为供方确认附件逐项回传。未取得必要批准或材料时保持待核，不直接执行放行、替换或退款。模拟盘点演练清单为36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模拟：重启后灯灭也需按维保指引处理。真实厂商、行业和法律要求应另查可核实原始指引；这里没有生成相关阈值。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13为STORE05提供SKU025和SKU026；这只是本场景供货联系。本供货附件适用于这两个商品的设备报修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