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设备报修 序列不符 供货附件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STORE01，SUP33，SKU145、SKU146。场景：设备报修 / 序列不符。本件为供货附件，用途是明确本次商业决定、证据与未授权边界。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模拟：维保范围按设备序列与合同确认，门店不得将口头诊断写成维修结论。</w:t>
      </w:r>
    </w:p>
    <w:p>
      <w:pPr>
        <w:pStyle w:val="Heading1"/>
      </w:pPr>
      <w:r>
        <w:t>适用条件与处置</w:t>
      </w:r>
    </w:p>
    <w:p>
      <w:r>
        <w:t>模拟：当维保单列设备与现场序列号不同时，采购要求供方在回执中明确：先纠正设备身份再申请合同服务。未得到范围确认的行仍是待协商，不因门店已经着急用货就改成已履约。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铭牌照片和维保设备列表，作为供方确认附件逐项回传。未取得必要批准或材料时保持待核，不直接执行放行、替换或退款。模拟盘点演练清单为18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模拟：同型号设备不一定属于同一维保合同。真实厂商、行业和法律要求应另查可核实原始指引；这里没有生成相关阈值。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33为STORE01提供SKU145和SKU146；这只是本场景供货联系。本供货附件适用于这两个商品的设备报修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