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设备报修 修后未验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STORE05，SUP13，SKU265、SKU266。场景：设备报修 / 修后未验。本件为供货附件，用途是明确本次商业决定、证据与未授权边界。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模拟：维保范围按设备序列与合同确认，门店不得将口头诊断写成维修结论。</w:t>
      </w:r>
    </w:p>
    <w:p>
      <w:pPr>
        <w:pStyle w:val="Heading1"/>
      </w:pPr>
      <w:r>
        <w:t>适用条件与处置</w:t>
      </w:r>
    </w:p>
    <w:p>
      <w:r>
        <w:t>模拟：当配件换好但维修方未给放行记录时，采购要求供方在回执中明确：保持停用并请求明确复机条件。未得到范围确认的行仍是待协商，不因门店已经着急用货就改成已履约。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维修工单和缺失的放行项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模拟：能够通电不证明可恢复全部任务。真实厂商、行业和法律要求应另查可核实原始指引；这里没有生成相关阈值。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13为STORE05提供SKU265和SKU266；这只是本场景供货联系。本供货附件适用于这两个商品的设备报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