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开店缺货 账有实无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STORE07，SUP15，SKU029、SKU030。场景：开店缺货 / 账有实无。本件为供货附件，用途是明确本次商业决定、证据与未授权边界。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模拟：争议结算补充：库存查询与仓位核查应分别标记已取得与待补交。采购先核供方确认范围，再决定争议行是补交、撤销还是待协商；本附件不承诺赔偿金额。不得为迎合系统数虚构已找到实物。。</w:t>
      </w:r>
    </w:p>
    <w:p>
      <w:pPr>
        <w:pStyle w:val="Heading1"/>
      </w:pPr>
      <w:r>
        <w:t>适用条件与处置</w:t>
      </w:r>
    </w:p>
    <w:p>
      <w:r>
        <w:t>模拟：当系统显示可售而货架与仓位均找不到时，采购要求供方在回执中明确：暂停承诺并盘点定位，业务库存标记待复核。未得到范围确认的行仍是待协商，不因门店已经着急用货就改成已履约。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库存查询与仓位核查，作为供方确认附件逐项回传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模拟：不得为迎合系统数虚构已找到实物。真实厂商、行业和法律要求应另查可核实原始指引；这里没有生成相关阈值。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15为STORE07提供SKU029和SKU030；这只是本场景供货联系。本供货附件适用于这两个商品的开店缺货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