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开店缺货 在途迟到 供货附件 识别交接补充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STORE03，SUP35，SKU149、SKU150。场景：开店缺货 / 在途迟到。本件为供货附件，用途是明确本次商业决定、证据与未授权边界。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模拟：争议结算补充：承运延误通知和活动库存应分别标记已取得与待补交。采购先核供方确认范围，再决定争议行是补交、撤销还是待协商；本附件不承诺赔偿金额。不能将预计到达时间说成保证交付。。</w:t>
      </w:r>
    </w:p>
    <w:p>
      <w:pPr>
        <w:pStyle w:val="Heading1"/>
      </w:pPr>
      <w:r>
        <w:t>适用条件与处置</w:t>
      </w:r>
    </w:p>
    <w:p>
      <w:r>
        <w:t>模拟：当早班补货车延误且活动即将开始时，采购要求供方在回执中明确：限售或下架未到部分，告知真实预计。未得到范围确认的行仍是待协商，不因门店已经着急用货就改成已履约。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承运延误通知和活动库存，作为供方确认附件逐项回传。未取得必要批准或材料时保持待核，不直接执行放行、替换或退款。模拟盘点演练清单为30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模拟：不能将预计到达时间说成保证交付。真实厂商、行业和法律要求应另查可核实原始指引；这里没有生成相关阈值。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35为STORE03提供SKU149和SKU150；这只是本场景供货联系。本供货附件适用于这两个商品的开店缺货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