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开店缺货 残套充数 供货附件 识别交接补充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STORE01，SUP25，SKU209、SKU210。场景：开店缺货 / 残套充数。本件为供货附件，用途是明确本次商业决定、证据与未授权边界。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模拟：争议结算补充：待配清单与拆售批准应分别标记已取得与待补交。采购先核供方确认范围，再决定争议行是补交、撤销还是待协商；本附件不承诺赔偿金额。不能隐去缺件把残套当完整商品。。</w:t>
      </w:r>
    </w:p>
    <w:p>
      <w:pPr>
        <w:pStyle w:val="Heading1"/>
      </w:pPr>
      <w:r>
        <w:t>适用条件与处置</w:t>
      </w:r>
    </w:p>
    <w:p>
      <w:r>
        <w:t>模拟：当只有缺配件套装而完整商品为零时，采购要求供方在回执中明确：保持完整套装缺货，申请补件或另卖已批准单件。未得到范围确认的行仍是待协商，不因门店已经着急用货就改成已履约。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待配清单与拆售批准，作为供方确认附件逐项回传。未取得必要批准或材料时保持待核，不直接执行放行、替换或退款。模拟盘点演练清单为42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模拟：不能隐去缺件把残套当完整商品。真实厂商、行业和法律要求应另查可核实原始指引；这里没有生成相关阈值。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25为STORE01提供SKU209和SKU210；这只是本场景供货联系。本供货附件适用于这两个商品的开店缺货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