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系统离线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STORE07，SUP15，SKU269、SKU270。场景：开店缺货 / 系统离线。本件为供货附件，用途是明确本次商业决定、证据与未授权边界。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模拟：争议结算补充：实点表和离线流水应分别标记已取得与待补交。采购先核供方确认范围，再决定争议行是补交、撤销还是待协商；本附件不承诺赔偿金额。离线手账恢复后必须核对，不能重复入账。。</w:t>
      </w:r>
    </w:p>
    <w:p>
      <w:pPr>
        <w:pStyle w:val="Heading1"/>
      </w:pPr>
      <w:r>
        <w:t>适用条件与处置</w:t>
      </w:r>
    </w:p>
    <w:p>
      <w:r>
        <w:t>模拟：当盘点有货但库存服务不可用时，采购要求供方在回执中明确：按离线流程记录临时销售并防重记。未得到范围确认的行仍是待协商，不因门店已经着急用货就改成已履约。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实点表和离线流水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模拟：离线手账恢复后必须核对，不能重复入账。真实厂商、行业和法律要求应另查可核实原始指引；这里没有生成相关阈值。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269和SKU270；这只是本场景供货联系。本供货附件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