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优惠叠加 退款回算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STORE03，SUP27，SKU213、SKU214。场景：优惠叠加 / 退款回算。本件为供货附件，用途是明确本次商业决定、证据与未授权边界。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模拟：供应返利与门店优惠分开核算，不把未确认返利冲抵售价。</w:t>
      </w:r>
    </w:p>
    <w:p>
      <w:pPr>
        <w:pStyle w:val="Heading1"/>
      </w:pPr>
      <w:r>
        <w:t>适用条件与处置</w:t>
      </w:r>
    </w:p>
    <w:p>
      <w:r>
        <w:t>模拟：当部分退款后订单不再满足优惠门槛时，采购要求供方在回执中明确：按原券退后规则重算，不只退行售价。未得到范围确认的行仍是待协商，不因门店已经着急用货就改成已履约。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订单与退后门槛规则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模拟：不同券规则不可按店员经验混用。真实厂商、行业和法律要求应另查可核实原始指引；这里没有生成相关阈值。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27为STORE03提供SKU213和SKU214；这只是本场景供货联系。本供货附件适用于这两个商品的优惠叠加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