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赠品核销 退货后领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STORE06，SUP38，SKU155、SKU156。场景：赠品核销 / 退货后领。本件为供货附件，用途是明确本次商业决定、证据与未授权边界。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模拟：赠品补货不自动延长活动，领用按活动授权数量和资格。</w:t>
      </w:r>
    </w:p>
    <w:p>
      <w:pPr>
        <w:pStyle w:val="Heading1"/>
      </w:pPr>
      <w:r>
        <w:t>适用条件与处置</w:t>
      </w:r>
    </w:p>
    <w:p>
      <w:r>
        <w:t>模拟：当顾客已退款但券仍显示未使用时，采购要求供方在回执中明确：查退后资格规则后处理，不盲发赠品。未得到范围确认的行仍是待协商，不因门店已经着急用货就改成已履约。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退款流水和券资格规则，作为供方确认附件逐项回传。未取得必要批准或材料时保持待核，不直接执行放行、替换或退款。模拟盘点演练清单为6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模拟：未使用状态不等于资格仍有效。真实厂商、行业和法律要求应另查可核实原始指引；这里没有生成相关阈值。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38为STORE06提供SKU155和SKU156；这只是本场景供货联系。本供货附件适用于这两个商品的赠品核销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