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外卖包装 赠件外挂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STORE02，SUP10，SKU099、SKU100。场景：外卖包装 / 赠件外挂。本件为供货附件，用途是明确本次商业决定、证据与未授权边界。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模拟：争议结算补充：包装批准和赠件清单应分别标记已取得与待补交。采购先核供方确认范围，再决定争议行是补交、撤销还是待协商；本附件不承诺赔偿金额。外挂看似牢固不等于配送方案有效。。</w:t>
      </w:r>
    </w:p>
    <w:p>
      <w:pPr>
        <w:pStyle w:val="Heading1"/>
      </w:pPr>
      <w:r>
        <w:t>适用条件与处置</w:t>
      </w:r>
    </w:p>
    <w:p>
      <w:r>
        <w:t>模拟：当活动赠件无法放入原袋而店员拟外挂时，采购要求供方在回执中明确：选用已批准额外包装并列交接件数。未得到范围确认的行仍是待协商，不因门店已经着急用货就改成已履约。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包装批准和赠件清单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模拟：外挂看似牢固不等于配送方案有效。真实厂商、行业和法律要求应另查可核实原始指引；这里没有生成相关阈值。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10为STORE02提供SKU099和SKU100；这只是本场景供货联系。本供货附件适用于这两个商品的外卖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