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外卖包装 袋材换版 供货附件 识别交接补充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STORE04，SUP20，SKU279、SKU280。场景：外卖包装 / 袋材换版。本件为供货附件，用途是明确本次商业决定、证据与未授权边界。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模拟：争议结算补充：袋版本说明和旧方案应分别标记已取得与待补交。采购先核供方确认范围，再决定争议行是补交、撤销还是待协商；本附件不承诺赔偿金额。旧袋成功配送记录不覆盖新材料或结构。。</w:t>
      </w:r>
    </w:p>
    <w:p>
      <w:pPr>
        <w:pStyle w:val="Heading1"/>
      </w:pPr>
      <w:r>
        <w:t>适用条件与处置</w:t>
      </w:r>
    </w:p>
    <w:p>
      <w:r>
        <w:t>模拟：当新袋外形相同但提手结构改变时，采购要求供方在回执中明确：暂停沿用旧装载方案，核对厂商范围。未得到范围确认的行仍是待协商，不因门店已经着急用货就改成已履约。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袋版本说明和旧方案，作为供方确认附件逐项回传。未取得必要批准或材料时保持待核，不直接执行放行、替换或退款。模拟盘点演练清单为42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模拟：旧袋成功配送记录不覆盖新材料或结构。真实厂商、行业和法律要求应另查可核实原始指引；这里没有生成相关阈值。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20为STORE04提供SKU279和SKU280；这只是本场景供货联系。本供货附件适用于这两个商品的外卖包装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